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昌吉回族自治州红十字会社会救助培训中心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2022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概况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昌吉回族自治州红十字会社会救助培训中心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单位概况</w:t>
      </w:r>
    </w:p>
    <w:p>
      <w:pPr>
        <w:widowControl/>
        <w:spacing w:line="48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依法开展应急救护培训工作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普及宣传应急救护知识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（三）负责开展意外伤害和自然灾害的现场救护和救助工作。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pStyle w:val="6"/>
        <w:spacing w:before="0" w:beforeAutospacing="0" w:after="0" w:afterAutospacing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昌吉回族自治州红十字会社会救助培训中心</w:t>
      </w:r>
      <w:r>
        <w:rPr>
          <w:rFonts w:hint="eastAsia" w:ascii="仿宋_GB2312" w:eastAsia="仿宋_GB2312"/>
          <w:sz w:val="32"/>
          <w:szCs w:val="32"/>
        </w:rPr>
        <w:t>无下属预算单位，</w:t>
      </w:r>
      <w:r>
        <w:rPr>
          <w:rFonts w:hint="eastAsia" w:ascii="仿宋_GB2312" w:eastAsia="仿宋_GB2312"/>
          <w:bCs/>
          <w:sz w:val="32"/>
          <w:szCs w:val="32"/>
        </w:rPr>
        <w:t>下设0个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单位编制数3人，实有人数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人，其中：在职4人，增加0人；退休1人，增加0人；离休0人，增加0人。</w:t>
      </w:r>
    </w:p>
    <w:p>
      <w:pPr>
        <w:widowControl/>
        <w:spacing w:line="4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表1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单位：万元</w:t>
      </w:r>
    </w:p>
    <w:tbl>
      <w:tblPr>
        <w:tblStyle w:val="7"/>
        <w:tblW w:w="87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1437"/>
        <w:gridCol w:w="3303"/>
        <w:gridCol w:w="1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57.44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5.05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  <w:tc>
          <w:tcPr>
            <w:tcW w:w="33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2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                </w:t>
      </w:r>
    </w:p>
    <w:tbl>
      <w:tblPr>
        <w:tblStyle w:val="7"/>
        <w:tblpPr w:leftFromText="180" w:rightFromText="180" w:vertAnchor="text" w:horzAnchor="page" w:tblpX="1020" w:tblpY="372"/>
        <w:tblOverlap w:val="never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45"/>
        <w:gridCol w:w="489"/>
        <w:gridCol w:w="3400"/>
        <w:gridCol w:w="990"/>
        <w:gridCol w:w="1036"/>
        <w:gridCol w:w="594"/>
        <w:gridCol w:w="548"/>
        <w:gridCol w:w="548"/>
        <w:gridCol w:w="518"/>
        <w:gridCol w:w="564"/>
        <w:gridCol w:w="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3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3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208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02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  <w:t>05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208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208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16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其他红十字事业支出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  <w:t>合  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57.44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57.44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line="360" w:lineRule="exact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3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/>
          <w:kern w:val="0"/>
          <w:sz w:val="24"/>
        </w:rPr>
        <w:t xml:space="preserve">      单位：万元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                         </w:t>
      </w:r>
    </w:p>
    <w:tbl>
      <w:tblPr>
        <w:tblStyle w:val="7"/>
        <w:tblW w:w="9219" w:type="dxa"/>
        <w:tblInd w:w="-2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26"/>
        <w:gridCol w:w="426"/>
        <w:gridCol w:w="4358"/>
        <w:gridCol w:w="1170"/>
        <w:gridCol w:w="1125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43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43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47.99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其他红十字事业支出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80" w:lineRule="exact"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line="240" w:lineRule="auto"/>
        <w:jc w:val="left"/>
        <w:textAlignment w:val="bottom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 xml:space="preserve">4                   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单位：万元</w:t>
      </w:r>
    </w:p>
    <w:tbl>
      <w:tblPr>
        <w:tblStyle w:val="7"/>
        <w:tblW w:w="9128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009"/>
        <w:gridCol w:w="2125"/>
        <w:gridCol w:w="984"/>
        <w:gridCol w:w="840"/>
        <w:gridCol w:w="1155"/>
        <w:gridCol w:w="1081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4" w:hRule="atLeast"/>
        </w:trPr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1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36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47.99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47.99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5.05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2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57.44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5</w:t>
      </w:r>
    </w:p>
    <w:tbl>
      <w:tblPr>
        <w:tblStyle w:val="7"/>
        <w:tblW w:w="974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17"/>
        <w:gridCol w:w="452"/>
        <w:gridCol w:w="4657"/>
        <w:gridCol w:w="129"/>
        <w:gridCol w:w="1101"/>
        <w:gridCol w:w="1161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昌吉回族自治州红十字会社会救助培训中心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5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478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4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02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05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红十字事业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208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99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其他红十字事业支出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合 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57.44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57.44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6</w:t>
      </w:r>
    </w:p>
    <w:tbl>
      <w:tblPr>
        <w:tblStyle w:val="7"/>
        <w:tblW w:w="9720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99"/>
        <w:gridCol w:w="3188"/>
        <w:gridCol w:w="1596"/>
        <w:gridCol w:w="1018"/>
        <w:gridCol w:w="751"/>
        <w:gridCol w:w="1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昌吉回族自治州红十字会社会救助培训中心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6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款</w:t>
            </w:r>
          </w:p>
        </w:tc>
        <w:tc>
          <w:tcPr>
            <w:tcW w:w="3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50.52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50.52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01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17.23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17.23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02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3.75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12.94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12.94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城镇职工基本医疗保险缴费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3.32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bidi="ar"/>
              </w:rPr>
              <w:t>301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邮电费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劳务费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302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57.44 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51.85 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7</w:t>
      </w:r>
    </w:p>
    <w:tbl>
      <w:tblPr>
        <w:tblStyle w:val="7"/>
        <w:tblW w:w="9635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93"/>
        <w:gridCol w:w="401"/>
        <w:gridCol w:w="401"/>
        <w:gridCol w:w="859"/>
        <w:gridCol w:w="1471"/>
        <w:gridCol w:w="757"/>
        <w:gridCol w:w="574"/>
        <w:gridCol w:w="544"/>
        <w:gridCol w:w="658"/>
        <w:gridCol w:w="658"/>
        <w:gridCol w:w="383"/>
        <w:gridCol w:w="201"/>
        <w:gridCol w:w="423"/>
        <w:gridCol w:w="584"/>
        <w:gridCol w:w="424"/>
        <w:gridCol w:w="424"/>
        <w:gridCol w:w="397"/>
        <w:gridCol w:w="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5" w:type="dxa"/>
          <w:trHeight w:val="424" w:hRule="atLeast"/>
        </w:trPr>
        <w:tc>
          <w:tcPr>
            <w:tcW w:w="955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5" w:type="dxa"/>
          <w:trHeight w:val="530" w:hRule="atLeast"/>
        </w:trPr>
        <w:tc>
          <w:tcPr>
            <w:tcW w:w="709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昌吉回族自治州红十字会社会救助培训中心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3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9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71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84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72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40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0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备注：我单位无项目支出预算，此表为空表</w:t>
      </w:r>
    </w:p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8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</w:p>
    <w:p>
      <w:pPr>
        <w:widowControl/>
        <w:spacing w:line="240" w:lineRule="exact"/>
        <w:jc w:val="left"/>
        <w:textAlignment w:val="bottom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9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                           </w:t>
      </w:r>
    </w:p>
    <w:tbl>
      <w:tblPr>
        <w:tblStyle w:val="7"/>
        <w:tblW w:w="9199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57"/>
        <w:gridCol w:w="697"/>
        <w:gridCol w:w="2540"/>
        <w:gridCol w:w="1666"/>
        <w:gridCol w:w="1698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昌吉回族自治州红十字会社会救助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培训中心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支出预算包括：社会保障和就业支出，医疗卫生健康支出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住房保障支出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比上年预算减少3.3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5.47%，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在职人员伙食补助费没有纳入预算,工资福利支出较上年预算减少。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5.47%，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在职人员伙食补助费没有纳入预算,工资福利支出较上年预算减少。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项目支出0万元，占0%，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年项目支出预算没有安排。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16" w:firstLineChars="200"/>
        <w:rPr>
          <w:rFonts w:hint="default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47.99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万元，主要用于人员经费、公用经费及机关事业单位基本养老保险缴费支出。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万元，主要用于事业单位医疗及公务员医疗补助支出。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住房保障支出5.05万元,</w:t>
      </w: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  <w:lang w:val="en-US" w:eastAsia="zh-CN"/>
        </w:rPr>
        <w:t>主要用于缴纳职工住房公积金。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年一般公共预算当年拨款情况说明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（一）一般公共预算当年拨款规模变化情况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年一般公共预算拨款合计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上年预算减少3.3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5.47%，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在职人员伙食补助费没有纳入预算,工资福利支出较上年预算减少。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项目支出0万元，比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0万元，增长0%。主要原因是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年项目支出预算没有安排。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47.99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83.55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医疗卫生健康支出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7.66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住房保障支出5.05万元,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8.79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（款）事业单位离退休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退休人员取暖费预算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按款项明细划分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行政事业单位养老支出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机关事业单位基本养老保险缴费支出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5.59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</w:t>
      </w:r>
      <w:r>
        <w:rPr>
          <w:rFonts w:hint="eastAsia" w:ascii="仿宋" w:hAnsi="仿宋" w:eastAsia="仿宋" w:cs="仿宋"/>
          <w:kern w:val="0"/>
          <w:sz w:val="32"/>
          <w:szCs w:val="32"/>
        </w:rPr>
        <w:t>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0.53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10.47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调标增资，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机关事业单位基本养老保险缴费支出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较上年预算增加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红十字事业（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）其他红十字事业支出（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在职人员伙食补助费没有纳入预算,工资福利支出较上年预算减少。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事业单位医疗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3.32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0.44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11.7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社保调整基数，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事业单位医疗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较上年预算减少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公务员医疗补助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1.05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0.15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12.5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社保调整基数，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公务员医疗补助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较上年预算减少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.卫生健康支出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其他行政事业单位医疗补助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年预算数为0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.03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0.12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社保调整基数，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其他行政事业单位医疗补助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较上年预算减少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baseline"/>
        <w:rPr>
          <w:rFonts w:hint="eastAsia" w:ascii="仿宋" w:hAnsi="仿宋" w:eastAsia="仿宋_GB2312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住房保障支出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）住房改革支出（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比上年预算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5.05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主要原因是：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在职职工公积金缴费预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按款项明细划分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57.44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left"/>
        <w:textAlignment w:val="baseline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人员经费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51.85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主要包括：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基本工资、津贴补贴、奖金、绩效工资、机关事业单位基本养老保险缴费、城镇职工基本医疗保险缴费、公务员医疗补助缴费、其他社会保障缴费、住房公积金、离休费、医疗费补助、奖励金。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/>
        <w:jc w:val="lef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公用经费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5.59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万元，主要包括：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办公费、邮电费、差旅费、劳务费、工会经费、福利费、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、其他交通费用、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其他商品和服务支出。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昌吉州红十字会社会救护培训中心财政没有安排项目预算支出。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严格执行八项规定，厉行节约，加强车辆管理，确保公务用车运行费预算不超上年度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严格执行八项规定，厉行节约，压减降低批次和人数，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接待费预算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%。主要原因是加强经费管理，厉行节约，确保机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关运行经费逐年下降。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（二）政府采购情况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万元，政府采购工程预算0万元，政府采购服务预算0元。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/>
          <w:sz w:val="32"/>
          <w:highlight w:val="none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3.4</w:t>
      </w:r>
      <w:r>
        <w:rPr>
          <w:rFonts w:hint="eastAsia" w:ascii="仿宋_GB2312" w:hAnsi="仿宋_GB2312" w:eastAsia="仿宋_GB2312"/>
          <w:sz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（三）国有资产占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用使用情况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1.房屋0万元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辆，价值18.29万元；其中：一般公务用车1辆，价值18.29万元。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800" w:firstLineChars="2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年部门预算未安排购置车辆经费，安排购置50万元以上大型设备0台（套），单位价值100万元以上大型设备0台（套）。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预算绩效情况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目0个，涉及预算金额0万元。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昌吉州本级</w:t>
      </w:r>
      <w:r>
        <w:rPr>
          <w:rFonts w:hint="eastAsia" w:ascii="仿宋_GB2312" w:eastAsia="仿宋_GB2312"/>
          <w:sz w:val="32"/>
          <w:szCs w:val="32"/>
        </w:rPr>
        <w:t>部门为完成其特定的行政任务或事业发展目标，在基本支出预算之外编制的年度项目支出计划。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昌吉州本级</w:t>
      </w:r>
      <w:r>
        <w:rPr>
          <w:rFonts w:hint="eastAsia" w:ascii="仿宋_GB2312" w:eastAsia="仿宋_GB2312"/>
          <w:sz w:val="32"/>
          <w:szCs w:val="32"/>
        </w:rPr>
        <w:t>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昌吉回族自治州红十字会社会救助培训中心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874DE"/>
    <w:multiLevelType w:val="singleLevel"/>
    <w:tmpl w:val="B8A87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5E88E3"/>
    <w:multiLevelType w:val="singleLevel"/>
    <w:tmpl w:val="3E5E88E3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223EA5"/>
    <w:rsid w:val="00261065"/>
    <w:rsid w:val="002E7530"/>
    <w:rsid w:val="00321E8A"/>
    <w:rsid w:val="003679D2"/>
    <w:rsid w:val="00452A86"/>
    <w:rsid w:val="00522297"/>
    <w:rsid w:val="005320EE"/>
    <w:rsid w:val="005602EA"/>
    <w:rsid w:val="00567073"/>
    <w:rsid w:val="0059125F"/>
    <w:rsid w:val="00620D41"/>
    <w:rsid w:val="006E145A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C90A32"/>
    <w:rsid w:val="00D85033"/>
    <w:rsid w:val="00DA2829"/>
    <w:rsid w:val="00E51C21"/>
    <w:rsid w:val="00F105A9"/>
    <w:rsid w:val="00FD3213"/>
    <w:rsid w:val="021B1E58"/>
    <w:rsid w:val="039A7047"/>
    <w:rsid w:val="03AE41AB"/>
    <w:rsid w:val="05544930"/>
    <w:rsid w:val="084A2D1C"/>
    <w:rsid w:val="096210B9"/>
    <w:rsid w:val="0B7114A6"/>
    <w:rsid w:val="0C56673E"/>
    <w:rsid w:val="0D650FAB"/>
    <w:rsid w:val="0E8445FF"/>
    <w:rsid w:val="111B7534"/>
    <w:rsid w:val="12213434"/>
    <w:rsid w:val="140471AE"/>
    <w:rsid w:val="15E9241C"/>
    <w:rsid w:val="163061BE"/>
    <w:rsid w:val="169F404C"/>
    <w:rsid w:val="182C2F25"/>
    <w:rsid w:val="18BB2A6A"/>
    <w:rsid w:val="19E7235B"/>
    <w:rsid w:val="1E741471"/>
    <w:rsid w:val="1EE85D2C"/>
    <w:rsid w:val="1EF1686B"/>
    <w:rsid w:val="1F9401CA"/>
    <w:rsid w:val="203008D3"/>
    <w:rsid w:val="20DC0411"/>
    <w:rsid w:val="23C3162D"/>
    <w:rsid w:val="24DC0982"/>
    <w:rsid w:val="2593069B"/>
    <w:rsid w:val="2848586D"/>
    <w:rsid w:val="288A608E"/>
    <w:rsid w:val="2AFF6699"/>
    <w:rsid w:val="2C394BCF"/>
    <w:rsid w:val="2E444487"/>
    <w:rsid w:val="2ED642B1"/>
    <w:rsid w:val="2EFC65C3"/>
    <w:rsid w:val="2FD06CD9"/>
    <w:rsid w:val="308C6AF0"/>
    <w:rsid w:val="30AC00BA"/>
    <w:rsid w:val="313D420A"/>
    <w:rsid w:val="31C7363F"/>
    <w:rsid w:val="34813B75"/>
    <w:rsid w:val="354377D4"/>
    <w:rsid w:val="3A49556C"/>
    <w:rsid w:val="3C6F6E7F"/>
    <w:rsid w:val="3E6609DD"/>
    <w:rsid w:val="41DF1468"/>
    <w:rsid w:val="438C0368"/>
    <w:rsid w:val="44381D80"/>
    <w:rsid w:val="449F7178"/>
    <w:rsid w:val="47302762"/>
    <w:rsid w:val="48A73E1C"/>
    <w:rsid w:val="4AE52C0B"/>
    <w:rsid w:val="4D9A24EA"/>
    <w:rsid w:val="4DFC2B8C"/>
    <w:rsid w:val="500D212D"/>
    <w:rsid w:val="51324E49"/>
    <w:rsid w:val="51A0068C"/>
    <w:rsid w:val="51A26B9F"/>
    <w:rsid w:val="534979DC"/>
    <w:rsid w:val="53D06EA9"/>
    <w:rsid w:val="541F4E6E"/>
    <w:rsid w:val="55960055"/>
    <w:rsid w:val="55B9491C"/>
    <w:rsid w:val="56315CEC"/>
    <w:rsid w:val="57017CCC"/>
    <w:rsid w:val="5B9C00D6"/>
    <w:rsid w:val="5CCD1F63"/>
    <w:rsid w:val="5CD97123"/>
    <w:rsid w:val="5D355592"/>
    <w:rsid w:val="5D945318"/>
    <w:rsid w:val="5DF27070"/>
    <w:rsid w:val="5E6D76C9"/>
    <w:rsid w:val="5EA06822"/>
    <w:rsid w:val="5EFD3ADC"/>
    <w:rsid w:val="5F724303"/>
    <w:rsid w:val="609F3D54"/>
    <w:rsid w:val="60E96597"/>
    <w:rsid w:val="62CD6A61"/>
    <w:rsid w:val="64385C2C"/>
    <w:rsid w:val="64D86C6A"/>
    <w:rsid w:val="68841698"/>
    <w:rsid w:val="68C47964"/>
    <w:rsid w:val="69301FA2"/>
    <w:rsid w:val="6B755F1F"/>
    <w:rsid w:val="6BB2696C"/>
    <w:rsid w:val="6C2B1664"/>
    <w:rsid w:val="6C375C2F"/>
    <w:rsid w:val="6C4B2D5F"/>
    <w:rsid w:val="6D807D44"/>
    <w:rsid w:val="72B5636F"/>
    <w:rsid w:val="75C43EEB"/>
    <w:rsid w:val="76C94699"/>
    <w:rsid w:val="77230DE0"/>
    <w:rsid w:val="776A5ED1"/>
    <w:rsid w:val="786D5EB4"/>
    <w:rsid w:val="7C7D1568"/>
    <w:rsid w:val="7C9B48B2"/>
    <w:rsid w:val="7CB606C6"/>
    <w:rsid w:val="7CD819B2"/>
    <w:rsid w:val="7E622CAF"/>
    <w:rsid w:val="7EF5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3 Char"/>
    <w:link w:val="5"/>
    <w:qFormat/>
    <w:uiPriority w:val="0"/>
    <w:rPr>
      <w:rFonts w:eastAsia="仿宋_GB2312"/>
      <w:sz w:val="32"/>
      <w:szCs w:val="24"/>
    </w:rPr>
  </w:style>
  <w:style w:type="character" w:customStyle="1" w:styleId="10">
    <w:name w:val="页脚 Char"/>
    <w:link w:val="3"/>
    <w:qFormat/>
    <w:uiPriority w:val="99"/>
    <w:rPr>
      <w:rFonts w:eastAsia="黑体"/>
      <w:sz w:val="18"/>
      <w:szCs w:val="18"/>
    </w:rPr>
  </w:style>
  <w:style w:type="character" w:customStyle="1" w:styleId="11">
    <w:name w:val="批注框文本 Char"/>
    <w:link w:val="2"/>
    <w:semiHidden/>
    <w:qFormat/>
    <w:uiPriority w:val="0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sz w:val="18"/>
      <w:szCs w:val="18"/>
    </w:rPr>
  </w:style>
  <w:style w:type="character" w:customStyle="1" w:styleId="13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3 Char1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D3D85-8CA4-4740-994F-91B254073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21</Pages>
  <Words>6572</Words>
  <Characters>7800</Characters>
  <Lines>67</Lines>
  <Paragraphs>19</Paragraphs>
  <TotalTime>15</TotalTime>
  <ScaleCrop>false</ScaleCrop>
  <LinksUpToDate>false</LinksUpToDate>
  <CharactersWithSpaces>8451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Administrator</cp:lastModifiedBy>
  <cp:lastPrinted>2021-02-07T13:18:00Z</cp:lastPrinted>
  <dcterms:modified xsi:type="dcterms:W3CDTF">2022-04-13T03:26:16Z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B3AC8ED977EC479B9ABAE363BDA89ADA</vt:lpwstr>
  </property>
</Properties>
</file>